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4B" w:rsidRDefault="00B509D9">
      <w:pPr>
        <w:pStyle w:val="sanxttl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 2</w:t>
      </w:r>
    </w:p>
    <w:p w:rsidR="0051234B" w:rsidRDefault="00B509D9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2 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5.521/2024)</w:t>
      </w:r>
    </w:p>
    <w:p w:rsidR="0051234B" w:rsidRDefault="00B509D9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ANTET1) </w:t>
      </w:r>
    </w:p>
    <w:p w:rsidR="0051234B" w:rsidRDefault="00B509D9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1) Se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preşedintelui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act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administrativ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>.</w:t>
      </w:r>
    </w:p>
    <w:p w:rsidR="0051234B" w:rsidRDefault="0051234B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51234B" w:rsidRDefault="00B509D9">
      <w:pPr>
        <w:pStyle w:val="spar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CERTIFICAT DE ATESTARE FISCALĂ</w:t>
      </w:r>
    </w:p>
    <w:p w:rsidR="0051234B" w:rsidRDefault="00B509D9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................ data </w:t>
      </w:r>
      <w:proofErr w:type="spellStart"/>
      <w:r>
        <w:rPr>
          <w:rFonts w:ascii="Times New Roman" w:hAnsi="Times New Roman"/>
          <w:sz w:val="24"/>
          <w:szCs w:val="24"/>
        </w:rPr>
        <w:t>eliberării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51234B" w:rsidRDefault="0051234B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34B" w:rsidRDefault="00B509D9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Notificării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 din data de ................., se </w:t>
      </w:r>
      <w:proofErr w:type="spellStart"/>
      <w:r>
        <w:rPr>
          <w:rFonts w:ascii="Times New Roman" w:hAnsi="Times New Roman"/>
          <w:sz w:val="24"/>
          <w:szCs w:val="24"/>
        </w:rPr>
        <w:t>certifică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1234B" w:rsidRDefault="0051234B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34B" w:rsidRDefault="00B509D9">
      <w:pPr>
        <w:pStyle w:val="ListParagraph1"/>
        <w:numPr>
          <w:ilvl w:val="0"/>
          <w:numId w:val="1"/>
        </w:num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Datele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identificare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ale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debitorului</w:t>
      </w:r>
      <w:proofErr w:type="spellEnd"/>
    </w:p>
    <w:p w:rsidR="0051234B" w:rsidRDefault="00B509D9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fiscală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51234B" w:rsidRDefault="00B509D9">
      <w:pPr>
        <w:pStyle w:val="spar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renumele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</w:t>
      </w:r>
    </w:p>
    <w:p w:rsidR="0051234B" w:rsidRDefault="00B509D9">
      <w:pPr>
        <w:pStyle w:val="spar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Domiciliul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fiscal: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judeţul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sectorul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localitatea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................, str. .....................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........, bl. ..................., sc. ......., ap. .............,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........, fax ......................., e-mail ...................</w:t>
      </w:r>
    </w:p>
    <w:p w:rsidR="0051234B" w:rsidRDefault="00B509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Cod de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identificare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fiscală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sediile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secundare</w:t>
      </w:r>
      <w:proofErr w:type="spellEnd"/>
    </w:p>
    <w:p w:rsidR="0051234B" w:rsidRDefault="00B509D9">
      <w:pPr>
        <w:pStyle w:val="spar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51234B" w:rsidRDefault="00B509D9">
      <w:pPr>
        <w:pStyle w:val="spar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51234B" w:rsidRDefault="0051234B">
      <w:pPr>
        <w:pStyle w:val="spar4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51234B" w:rsidRDefault="00B509D9" w:rsidP="00746079">
      <w:pPr>
        <w:pStyle w:val="spar4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46E40">
        <w:rPr>
          <w:rFonts w:ascii="Times New Roman" w:hAnsi="Times New Roman"/>
          <w:b/>
          <w:bCs/>
          <w:color w:val="000000"/>
          <w:sz w:val="24"/>
          <w:szCs w:val="24"/>
        </w:rPr>
        <w:t>principale</w:t>
      </w:r>
      <w:proofErr w:type="spellEnd"/>
      <w:r w:rsidR="00146E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restante la 31 august 2024,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cuantum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146E40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  .............................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lei.</w:t>
      </w:r>
    </w:p>
    <w:p w:rsidR="0051234B" w:rsidRDefault="00B509D9" w:rsidP="00746079">
      <w:pPr>
        <w:pStyle w:val="spar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A.2.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46E40">
        <w:rPr>
          <w:rFonts w:ascii="Times New Roman" w:hAnsi="Times New Roman"/>
          <w:b/>
          <w:bCs/>
          <w:color w:val="000000"/>
          <w:sz w:val="24"/>
          <w:szCs w:val="24"/>
        </w:rPr>
        <w:t>principale</w:t>
      </w:r>
      <w:proofErr w:type="spellEnd"/>
      <w:r w:rsidR="00146E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restante la 31 august 2024,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nestinse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la data de 06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septembrie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cuantum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  .............................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lei.</w:t>
      </w:r>
    </w:p>
    <w:p w:rsidR="0051234B" w:rsidRDefault="00B509D9">
      <w:pPr>
        <w:pStyle w:val="spar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trebuie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achitate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cele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care pot face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obiectul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anulării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Ordonanţei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urgenţă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107/2024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masuri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gestionării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creanțelor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deficitului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consolidat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Româ</w:t>
      </w:r>
      <w:r>
        <w:rPr>
          <w:rFonts w:ascii="Times New Roman" w:hAnsi="Times New Roman"/>
          <w:b/>
          <w:bCs/>
          <w:sz w:val="24"/>
          <w:szCs w:val="24"/>
        </w:rPr>
        <w:t>niei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ulterioare</w:t>
      </w:r>
      <w:proofErr w:type="spellEnd"/>
    </w:p>
    <w:p w:rsidR="0051234B" w:rsidRDefault="00B509D9">
      <w:pPr>
        <w:pStyle w:val="spar4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B.1.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trebuie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achitate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depunerii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târziu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25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inclusiv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încadrării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art. II – V</w:t>
      </w:r>
      <w:r w:rsidRPr="00B509D9">
        <w:rPr>
          <w:rFonts w:ascii="Times New Roman" w:hAnsi="Times New Roman"/>
          <w:b/>
          <w:bCs/>
          <w:sz w:val="24"/>
          <w:szCs w:val="24"/>
          <w:vertAlign w:val="superscript"/>
        </w:rPr>
        <w:t>2)</w:t>
      </w:r>
      <w:r>
        <w:rPr>
          <w:rFonts w:ascii="Times New Roman" w:hAnsi="Times New Roman"/>
          <w:b/>
          <w:bCs/>
          <w:sz w:val="24"/>
          <w:szCs w:val="24"/>
        </w:rPr>
        <w:t xml:space="preserve">, IX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XVI,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Ordonanţa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urgenţă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107/2024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masuri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gestionării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creanțelor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deficitului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consolidat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României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ulterioare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nestinse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eliberării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certificat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3)</w:t>
      </w:r>
    </w:p>
    <w:p w:rsidR="0051234B" w:rsidRDefault="00B509D9">
      <w:pPr>
        <w:pStyle w:val="spar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2) </w:t>
      </w:r>
      <w:proofErr w:type="spellStart"/>
      <w:r>
        <w:rPr>
          <w:rFonts w:ascii="Times New Roman" w:hAnsi="Times New Roman"/>
          <w:sz w:val="18"/>
          <w:szCs w:val="18"/>
          <w:vertAlign w:val="superscript"/>
        </w:rPr>
        <w:t>obligații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care </w:t>
      </w:r>
      <w:proofErr w:type="spellStart"/>
      <w:r>
        <w:rPr>
          <w:rFonts w:ascii="Times New Roman" w:hAnsi="Times New Roman"/>
          <w:sz w:val="18"/>
          <w:szCs w:val="18"/>
        </w:rPr>
        <w:t>trebuie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achitate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până</w:t>
      </w:r>
      <w:proofErr w:type="spellEnd"/>
      <w:r>
        <w:rPr>
          <w:rFonts w:ascii="Times New Roman" w:hAnsi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</w:rPr>
        <w:t>termenul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plată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prevăzut</w:t>
      </w:r>
      <w:proofErr w:type="spellEnd"/>
      <w:r>
        <w:rPr>
          <w:rFonts w:ascii="Times New Roman" w:hAnsi="Times New Roman"/>
          <w:sz w:val="18"/>
          <w:szCs w:val="18"/>
        </w:rPr>
        <w:t xml:space="preserve"> la art.156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alin</w:t>
      </w:r>
      <w:proofErr w:type="spellEnd"/>
      <w:r>
        <w:rPr>
          <w:rFonts w:ascii="Times New Roman" w:hAnsi="Times New Roman"/>
          <w:sz w:val="18"/>
          <w:szCs w:val="18"/>
        </w:rPr>
        <w:t>.(</w:t>
      </w:r>
      <w:proofErr w:type="gramEnd"/>
      <w:r>
        <w:rPr>
          <w:rFonts w:ascii="Times New Roman" w:hAnsi="Times New Roman"/>
          <w:sz w:val="18"/>
          <w:szCs w:val="18"/>
        </w:rPr>
        <w:t xml:space="preserve">1) din </w:t>
      </w:r>
      <w:proofErr w:type="spellStart"/>
      <w:r>
        <w:rPr>
          <w:rFonts w:ascii="Times New Roman" w:hAnsi="Times New Roman"/>
          <w:sz w:val="18"/>
          <w:szCs w:val="18"/>
        </w:rPr>
        <w:t>Legea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 xml:space="preserve">. 207/2015 </w:t>
      </w:r>
      <w:proofErr w:type="spellStart"/>
      <w:r>
        <w:rPr>
          <w:rFonts w:ascii="Times New Roman" w:hAnsi="Times New Roman"/>
          <w:sz w:val="18"/>
          <w:szCs w:val="18"/>
        </w:rPr>
        <w:t>privind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Codul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procedură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fiscală</w:t>
      </w:r>
      <w:proofErr w:type="spellEnd"/>
      <w:r>
        <w:rPr>
          <w:rFonts w:ascii="Times New Roman" w:hAnsi="Times New Roman"/>
          <w:sz w:val="18"/>
          <w:szCs w:val="18"/>
        </w:rPr>
        <w:t xml:space="preserve">, cu </w:t>
      </w:r>
      <w:proofErr w:type="spellStart"/>
      <w:r>
        <w:rPr>
          <w:rFonts w:ascii="Times New Roman" w:hAnsi="Times New Roman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ulterioare</w:t>
      </w:r>
      <w:proofErr w:type="spellEnd"/>
    </w:p>
    <w:p w:rsidR="0051234B" w:rsidRDefault="00B509D9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3) Se </w:t>
      </w:r>
      <w:proofErr w:type="spellStart"/>
      <w:r>
        <w:rPr>
          <w:rFonts w:ascii="Times New Roman" w:hAnsi="Times New Roman"/>
          <w:sz w:val="18"/>
          <w:szCs w:val="18"/>
        </w:rPr>
        <w:t>vor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menționa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debitele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C.1., C.2., C.4., C.6., C.7. (la care se </w:t>
      </w:r>
      <w:proofErr w:type="spellStart"/>
      <w:r>
        <w:rPr>
          <w:rFonts w:ascii="Times New Roman" w:hAnsi="Times New Roman"/>
          <w:sz w:val="18"/>
          <w:szCs w:val="18"/>
        </w:rPr>
        <w:t>va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avea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vedere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cazul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persoanelor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fizice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procentul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achitare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corespunzător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</w:rPr>
        <w:t>si</w:t>
      </w:r>
      <w:proofErr w:type="spellEnd"/>
      <w:r>
        <w:rPr>
          <w:rFonts w:ascii="Times New Roman" w:hAnsi="Times New Roman"/>
          <w:sz w:val="18"/>
          <w:szCs w:val="18"/>
        </w:rPr>
        <w:t xml:space="preserve"> total </w:t>
      </w:r>
      <w:proofErr w:type="spellStart"/>
      <w:r>
        <w:rPr>
          <w:rFonts w:ascii="Times New Roman" w:hAnsi="Times New Roman"/>
          <w:sz w:val="18"/>
          <w:szCs w:val="18"/>
        </w:rPr>
        <w:t>obligații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C.5.și lit.C.8. </w:t>
      </w:r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B509D9">
      <w:pPr>
        <w:pStyle w:val="spar4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Suma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totală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achita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……. lei</w:t>
      </w:r>
    </w:p>
    <w:p w:rsidR="0051234B" w:rsidRDefault="0051234B">
      <w:pPr>
        <w:pStyle w:val="spar4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234B" w:rsidRDefault="00B509D9">
      <w:pPr>
        <w:pStyle w:val="spar4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pot face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obiectul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conform art. II – V, IX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XVI,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Ordonanţa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urgenţă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107/2024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masuri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gestionării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creanțelor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deficitului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consolidat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României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ulterioare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nestinse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eliberării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certificat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4)</w:t>
      </w:r>
    </w:p>
    <w:p w:rsidR="0051234B" w:rsidRDefault="00B509D9">
      <w:pPr>
        <w:pStyle w:val="spar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Se </w:t>
      </w:r>
      <w:proofErr w:type="spellStart"/>
      <w:r>
        <w:rPr>
          <w:rFonts w:ascii="Times New Roman" w:hAnsi="Times New Roman"/>
          <w:sz w:val="18"/>
          <w:szCs w:val="18"/>
        </w:rPr>
        <w:t>vor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menționa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accesoriile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C.1., C.2., C.3. C.4., C.6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C.7., </w:t>
      </w:r>
      <w:proofErr w:type="spellStart"/>
      <w:r>
        <w:rPr>
          <w:rFonts w:ascii="Times New Roman" w:hAnsi="Times New Roman"/>
          <w:sz w:val="18"/>
          <w:szCs w:val="18"/>
        </w:rPr>
        <w:t>precum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procentul</w:t>
      </w:r>
      <w:proofErr w:type="spellEnd"/>
      <w:r>
        <w:rPr>
          <w:rFonts w:ascii="Times New Roman" w:hAnsi="Times New Roman"/>
          <w:sz w:val="18"/>
          <w:szCs w:val="18"/>
        </w:rPr>
        <w:t xml:space="preserve"> afferent </w:t>
      </w:r>
      <w:proofErr w:type="spellStart"/>
      <w:r>
        <w:rPr>
          <w:rFonts w:ascii="Times New Roman" w:hAnsi="Times New Roman"/>
          <w:sz w:val="18"/>
          <w:szCs w:val="18"/>
        </w:rPr>
        <w:t>debitelor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C.1., C.2., C.4., C.6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C.7.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cazul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persoanelor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fizice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51234B" w:rsidRDefault="0051234B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34B" w:rsidRDefault="0051234B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34B" w:rsidRDefault="0051234B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B509D9">
      <w:pPr>
        <w:pStyle w:val="spar4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Suma </w:t>
      </w:r>
      <w:proofErr w:type="spellStart"/>
      <w:r>
        <w:rPr>
          <w:rFonts w:ascii="Times New Roman" w:hAnsi="Times New Roman"/>
          <w:b/>
          <w:sz w:val="24"/>
          <w:szCs w:val="24"/>
        </w:rPr>
        <w:t>totală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amâna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anulării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……. lei.</w:t>
      </w:r>
    </w:p>
    <w:p w:rsidR="0051234B" w:rsidRDefault="0051234B">
      <w:pPr>
        <w:pStyle w:val="spar4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1234B" w:rsidRDefault="00B509D9">
      <w:pPr>
        <w:pStyle w:val="spar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Detalii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privire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obligațiile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existente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evidența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fiscală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administrate de </w:t>
      </w:r>
      <w:proofErr w:type="spellStart"/>
      <w:r>
        <w:rPr>
          <w:rFonts w:ascii="Times New Roman" w:hAnsi="Times New Roman"/>
          <w:b/>
          <w:sz w:val="24"/>
          <w:szCs w:val="24"/>
        </w:rPr>
        <w:t>organul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fiscal central</w:t>
      </w:r>
    </w:p>
    <w:p w:rsidR="0051234B" w:rsidRDefault="00B509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Sus-numitul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contribuabil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figurează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evidenţele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existente</w:t>
      </w:r>
      <w:proofErr w:type="spellEnd"/>
      <w:r>
        <w:rPr>
          <w:rFonts w:ascii="Times New Roman" w:hAnsi="Times New Roman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eliberării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certificat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tbl>
      <w:tblPr>
        <w:tblW w:w="977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51234B" w:rsidRDefault="00B509D9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>din care:</w:t>
      </w:r>
    </w:p>
    <w:p w:rsidR="0051234B" w:rsidRDefault="0051234B">
      <w:pPr>
        <w:spacing w:after="0" w:line="240" w:lineRule="auto"/>
        <w:rPr>
          <w:rFonts w:ascii="Times New Roman" w:hAnsi="Times New Roman"/>
        </w:rPr>
      </w:pPr>
    </w:p>
    <w:p w:rsidR="0051234B" w:rsidRDefault="00B509D9">
      <w:pPr>
        <w:pStyle w:val="scapden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C.1.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restante la data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certificat</w:t>
      </w:r>
      <w:r>
        <w:rPr>
          <w:rFonts w:ascii="Times New Roman" w:hAnsi="Times New Roman"/>
          <w:color w:val="auto"/>
          <w:vertAlign w:val="superscript"/>
        </w:rPr>
        <w:t>5)</w:t>
      </w:r>
    </w:p>
    <w:p w:rsidR="0051234B" w:rsidRDefault="00B509D9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 xml:space="preserve">5)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vor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fi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cuprinse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inclusiv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obligațiile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care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există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un plan de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reorganizare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aprobat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însă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nu se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vor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avea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în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vedere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cele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care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fac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obiectul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înlesnirilor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plată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potrivit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Legii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nr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. 207/2015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privind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Codul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procedură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fiscală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, cu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ulterioare</w:t>
      </w:r>
      <w:proofErr w:type="spellEnd"/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</w:p>
    <w:p w:rsidR="0051234B" w:rsidRDefault="00B509D9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C.2. </w:t>
      </w:r>
      <w:proofErr w:type="spellStart"/>
      <w:r>
        <w:rPr>
          <w:rFonts w:ascii="Times New Roman" w:hAnsi="Times New Roman"/>
          <w:color w:val="auto"/>
        </w:rPr>
        <w:t>Diferenţe</w:t>
      </w:r>
      <w:proofErr w:type="spellEnd"/>
      <w:r>
        <w:rPr>
          <w:rFonts w:ascii="Times New Roman" w:hAnsi="Times New Roman"/>
          <w:color w:val="auto"/>
        </w:rPr>
        <w:t xml:space="preserve"> de </w:t>
      </w:r>
      <w:proofErr w:type="spellStart"/>
      <w:r>
        <w:rPr>
          <w:rFonts w:ascii="Times New Roman" w:hAnsi="Times New Roman"/>
          <w:color w:val="auto"/>
        </w:rPr>
        <w:t>obligaţii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declarate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suplimentar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declaraţie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rectificativă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</w:t>
      </w:r>
      <w:proofErr w:type="spellEnd"/>
      <w:r>
        <w:rPr>
          <w:rFonts w:ascii="Times New Roman" w:hAnsi="Times New Roman"/>
          <w:color w:val="auto"/>
        </w:rPr>
        <w:t xml:space="preserve"> care se </w:t>
      </w:r>
      <w:proofErr w:type="spellStart"/>
      <w:r>
        <w:rPr>
          <w:rFonts w:ascii="Times New Roman" w:hAnsi="Times New Roman"/>
          <w:color w:val="auto"/>
        </w:rPr>
        <w:t>corectează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cu </w:t>
      </w:r>
      <w:proofErr w:type="spellStart"/>
      <w:r>
        <w:rPr>
          <w:rFonts w:ascii="Times New Roman" w:hAnsi="Times New Roman"/>
          <w:color w:val="auto"/>
        </w:rPr>
        <w:t>scadenţe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anterioare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datei</w:t>
      </w:r>
      <w:proofErr w:type="spellEnd"/>
      <w:r>
        <w:rPr>
          <w:rFonts w:ascii="Times New Roman" w:hAnsi="Times New Roman"/>
          <w:color w:val="auto"/>
        </w:rPr>
        <w:t xml:space="preserve">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pStyle w:val="scapden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</w:p>
    <w:p w:rsidR="0051234B" w:rsidRDefault="00B509D9">
      <w:pPr>
        <w:pStyle w:val="scapden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C.3. </w:t>
      </w:r>
      <w:proofErr w:type="spellStart"/>
      <w:r>
        <w:rPr>
          <w:rFonts w:ascii="Times New Roman" w:hAnsi="Times New Roman"/>
          <w:color w:val="auto"/>
        </w:rPr>
        <w:t>Dobânzile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penalităţile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toate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accesoriile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cu </w:t>
      </w:r>
      <w:proofErr w:type="spellStart"/>
      <w:r>
        <w:rPr>
          <w:rFonts w:ascii="Times New Roman" w:hAnsi="Times New Roman"/>
          <w:color w:val="auto"/>
        </w:rPr>
        <w:t>scadenţe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anterioare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datei</w:t>
      </w:r>
      <w:proofErr w:type="spellEnd"/>
      <w:r>
        <w:rPr>
          <w:rFonts w:ascii="Times New Roman" w:hAnsi="Times New Roman"/>
          <w:color w:val="auto"/>
        </w:rPr>
        <w:t xml:space="preserve">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stinse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până</w:t>
      </w:r>
      <w:proofErr w:type="spellEnd"/>
      <w:r>
        <w:rPr>
          <w:rFonts w:ascii="Times New Roman" w:hAnsi="Times New Roman"/>
          <w:color w:val="auto"/>
        </w:rPr>
        <w:t xml:space="preserve"> la </w:t>
      </w:r>
      <w:proofErr w:type="spellStart"/>
      <w:r>
        <w:rPr>
          <w:rFonts w:ascii="Times New Roman" w:hAnsi="Times New Roman"/>
          <w:color w:val="auto"/>
        </w:rPr>
        <w:t>această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dată</w:t>
      </w:r>
      <w:proofErr w:type="spellEnd"/>
    </w:p>
    <w:tbl>
      <w:tblPr>
        <w:tblW w:w="980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350"/>
        <w:gridCol w:w="1448"/>
        <w:gridCol w:w="1749"/>
        <w:gridCol w:w="1915"/>
        <w:gridCol w:w="1767"/>
      </w:tblGrid>
      <w:tr w:rsidR="0051234B">
        <w:tc>
          <w:tcPr>
            <w:tcW w:w="9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1234B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pStyle w:val="scapttl"/>
        <w:spacing w:after="0" w:line="240" w:lineRule="auto"/>
        <w:ind w:left="72" w:right="72"/>
        <w:rPr>
          <w:rFonts w:ascii="Times New Roman" w:hAnsi="Times New Roman"/>
          <w:color w:val="auto"/>
          <w:sz w:val="20"/>
          <w:szCs w:val="20"/>
        </w:rPr>
      </w:pPr>
    </w:p>
    <w:p w:rsidR="0051234B" w:rsidRDefault="00B509D9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C.4.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principale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scadenţe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anterioare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datei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de 31 august 2024 </w:t>
      </w:r>
      <w:proofErr w:type="spellStart"/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inclusiv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individualizate</w:t>
      </w:r>
      <w:proofErr w:type="spellEnd"/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decizii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impunere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emise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ca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urmare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control fiscal,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accesorii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aferente</w:t>
      </w:r>
      <w:proofErr w:type="spellEnd"/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pStyle w:val="scapttl"/>
        <w:spacing w:after="0" w:line="240" w:lineRule="auto"/>
        <w:ind w:left="72" w:right="72"/>
        <w:rPr>
          <w:rFonts w:ascii="Times New Roman" w:hAnsi="Times New Roman"/>
          <w:color w:val="auto"/>
          <w:sz w:val="20"/>
          <w:szCs w:val="20"/>
        </w:rPr>
      </w:pPr>
    </w:p>
    <w:p w:rsidR="0051234B" w:rsidRDefault="00B509D9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C.5. </w:t>
      </w:r>
      <w:proofErr w:type="spellStart"/>
      <w:r>
        <w:rPr>
          <w:rFonts w:ascii="Times New Roman" w:hAnsi="Times New Roman"/>
          <w:color w:val="auto"/>
        </w:rPr>
        <w:t>Obligaţii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cu </w:t>
      </w:r>
      <w:proofErr w:type="spellStart"/>
      <w:r>
        <w:rPr>
          <w:rFonts w:ascii="Times New Roman" w:hAnsi="Times New Roman"/>
          <w:color w:val="auto"/>
        </w:rPr>
        <w:t>termene</w:t>
      </w:r>
      <w:proofErr w:type="spellEnd"/>
      <w:r>
        <w:rPr>
          <w:rFonts w:ascii="Times New Roman" w:hAnsi="Times New Roman"/>
          <w:color w:val="auto"/>
        </w:rPr>
        <w:t xml:space="preserve"> de </w:t>
      </w:r>
      <w:proofErr w:type="spellStart"/>
      <w:r>
        <w:rPr>
          <w:rFonts w:ascii="Times New Roman" w:hAnsi="Times New Roman"/>
          <w:color w:val="auto"/>
        </w:rPr>
        <w:t>plată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cuprinse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între</w:t>
      </w:r>
      <w:proofErr w:type="spellEnd"/>
      <w:r>
        <w:rPr>
          <w:rFonts w:ascii="Times New Roman" w:hAnsi="Times New Roman"/>
          <w:color w:val="auto"/>
        </w:rPr>
        <w:t xml:space="preserve"> data de 01 </w:t>
      </w:r>
      <w:proofErr w:type="spellStart"/>
      <w:r>
        <w:rPr>
          <w:rFonts w:ascii="Times New Roman" w:hAnsi="Times New Roman"/>
          <w:color w:val="auto"/>
        </w:rPr>
        <w:t>septembrie</w:t>
      </w:r>
      <w:proofErr w:type="spellEnd"/>
      <w:r>
        <w:rPr>
          <w:rFonts w:ascii="Times New Roman" w:hAnsi="Times New Roman"/>
          <w:color w:val="auto"/>
        </w:rPr>
        <w:t xml:space="preserve"> 2024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51234B"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</w:p>
    <w:p w:rsidR="0051234B" w:rsidRDefault="00B509D9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C.6.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principale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stabilite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printr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-o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decizie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impunere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oficiu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veniturilor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persoanelor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fizice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anii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2019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2020,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fiscale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accesorii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aferente</w:t>
      </w:r>
      <w:proofErr w:type="spellEnd"/>
    </w:p>
    <w:tbl>
      <w:tblPr>
        <w:tblW w:w="977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449"/>
        <w:gridCol w:w="461"/>
        <w:gridCol w:w="1449"/>
        <w:gridCol w:w="1816"/>
        <w:gridCol w:w="1177"/>
        <w:gridCol w:w="1838"/>
      </w:tblGrid>
      <w:tr w:rsidR="0051234B">
        <w:tc>
          <w:tcPr>
            <w:tcW w:w="9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51234B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51234B" w:rsidRDefault="00B509D9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C.7.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principale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accesoriile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rămase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nestinse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certificat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atestare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fiscală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care s-a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acordat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eșalonare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plată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potrivit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Codului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procedură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fiscală</w:t>
      </w:r>
      <w:r>
        <w:rPr>
          <w:rFonts w:ascii="Times New Roman" w:eastAsia="SimSun" w:hAnsi="Times New Roman"/>
          <w:b/>
          <w:bCs/>
          <w:sz w:val="24"/>
          <w:szCs w:val="24"/>
          <w:vertAlign w:val="superscript"/>
        </w:rPr>
        <w:t>6)</w:t>
      </w:r>
    </w:p>
    <w:tbl>
      <w:tblPr>
        <w:tblW w:w="977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449"/>
        <w:gridCol w:w="461"/>
        <w:gridCol w:w="1449"/>
        <w:gridCol w:w="1816"/>
        <w:gridCol w:w="1177"/>
        <w:gridCol w:w="1838"/>
      </w:tblGrid>
      <w:tr w:rsidR="0051234B">
        <w:tc>
          <w:tcPr>
            <w:tcW w:w="9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B509D9">
      <w:pPr>
        <w:pStyle w:val="scapttl"/>
        <w:spacing w:after="0" w:line="240" w:lineRule="auto"/>
        <w:ind w:right="72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vertAlign w:val="superscript"/>
        </w:rPr>
        <w:t>6)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</w:rPr>
        <w:t xml:space="preserve">nu se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cuprind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obligațiile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care au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fost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emise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decizii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amânare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plată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penalităţilor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întârziere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şi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penalităţilor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nedeclarare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potrivit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Legii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nr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. 207/2015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privind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Codul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procedură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fiscală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, cu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ulterioare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precum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cele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care nu pot face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obiectul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anulării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prevăzute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art.I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alin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.(6)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art.XVIII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din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Ordonanța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urgență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Guvernului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nr.107/2024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reglementarea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unor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masuri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fiscal-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în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domeniul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gestionării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creanțelor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deficitului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general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consolidat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al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României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în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anul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2024,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precum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modificarea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completarea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unor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acte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normative, cu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ulterioare</w:t>
      </w:r>
      <w:proofErr w:type="spellEnd"/>
    </w:p>
    <w:p w:rsidR="0051234B" w:rsidRDefault="0051234B">
      <w:pPr>
        <w:pStyle w:val="scapttl"/>
        <w:spacing w:after="0" w:line="240" w:lineRule="auto"/>
        <w:ind w:right="72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51234B" w:rsidRDefault="00B509D9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C.8. </w:t>
      </w:r>
      <w:proofErr w:type="spellStart"/>
      <w:r>
        <w:rPr>
          <w:rFonts w:ascii="Times New Roman" w:hAnsi="Times New Roman"/>
          <w:color w:val="auto"/>
        </w:rPr>
        <w:t>Obligaţii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care nu </w:t>
      </w:r>
      <w:proofErr w:type="spellStart"/>
      <w:r>
        <w:rPr>
          <w:rFonts w:ascii="Times New Roman" w:hAnsi="Times New Roman"/>
          <w:color w:val="auto"/>
        </w:rPr>
        <w:t>fac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obiectul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anulării</w:t>
      </w:r>
      <w:proofErr w:type="spellEnd"/>
      <w:r>
        <w:rPr>
          <w:rFonts w:ascii="Times New Roman" w:hAnsi="Times New Roman"/>
          <w:color w:val="auto"/>
        </w:rPr>
        <w:t xml:space="preserve"> conform art. II – V, IX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>/</w:t>
      </w:r>
      <w:proofErr w:type="spellStart"/>
      <w:r>
        <w:rPr>
          <w:rFonts w:ascii="Times New Roman" w:hAnsi="Times New Roman"/>
          <w:color w:val="auto"/>
        </w:rPr>
        <w:t>sau</w:t>
      </w:r>
      <w:proofErr w:type="spellEnd"/>
      <w:r>
        <w:rPr>
          <w:rFonts w:ascii="Times New Roman" w:hAnsi="Times New Roman"/>
          <w:color w:val="auto"/>
        </w:rPr>
        <w:t xml:space="preserve"> XVI din </w:t>
      </w:r>
      <w:proofErr w:type="spellStart"/>
      <w:r>
        <w:rPr>
          <w:rFonts w:ascii="Times New Roman" w:hAnsi="Times New Roman"/>
          <w:color w:val="auto"/>
        </w:rPr>
        <w:t>Ordonanţa</w:t>
      </w:r>
      <w:proofErr w:type="spellEnd"/>
      <w:r>
        <w:rPr>
          <w:rFonts w:ascii="Times New Roman" w:hAnsi="Times New Roman"/>
          <w:color w:val="auto"/>
        </w:rPr>
        <w:t xml:space="preserve"> de </w:t>
      </w:r>
      <w:proofErr w:type="spellStart"/>
      <w:r>
        <w:rPr>
          <w:rFonts w:ascii="Times New Roman" w:hAnsi="Times New Roman"/>
          <w:color w:val="auto"/>
        </w:rPr>
        <w:t>urgenţă</w:t>
      </w:r>
      <w:proofErr w:type="spellEnd"/>
      <w:r>
        <w:rPr>
          <w:rFonts w:ascii="Times New Roman" w:hAnsi="Times New Roman"/>
          <w:color w:val="auto"/>
        </w:rPr>
        <w:t xml:space="preserve"> a </w:t>
      </w:r>
      <w:proofErr w:type="spellStart"/>
      <w:r>
        <w:rPr>
          <w:rFonts w:ascii="Times New Roman" w:hAnsi="Times New Roman"/>
          <w:color w:val="auto"/>
        </w:rPr>
        <w:t>Guvernului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nr</w:t>
      </w:r>
      <w:proofErr w:type="spellEnd"/>
      <w:r>
        <w:rPr>
          <w:rFonts w:ascii="Times New Roman" w:hAnsi="Times New Roman"/>
          <w:color w:val="auto"/>
        </w:rPr>
        <w:t xml:space="preserve">. 107/2024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reglementarea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unor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masuri</w:t>
      </w:r>
      <w:proofErr w:type="spellEnd"/>
      <w:r>
        <w:rPr>
          <w:rFonts w:ascii="Times New Roman" w:hAnsi="Times New Roman"/>
          <w:color w:val="auto"/>
        </w:rPr>
        <w:t xml:space="preserve"> fiscal-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în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domeniul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gestionării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creanțelor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a </w:t>
      </w:r>
      <w:proofErr w:type="spellStart"/>
      <w:r>
        <w:rPr>
          <w:rFonts w:ascii="Times New Roman" w:hAnsi="Times New Roman"/>
          <w:color w:val="auto"/>
        </w:rPr>
        <w:t>deficitului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bugetul</w:t>
      </w:r>
      <w:proofErr w:type="spellEnd"/>
      <w:r>
        <w:rPr>
          <w:rFonts w:ascii="Times New Roman" w:hAnsi="Times New Roman"/>
          <w:color w:val="auto"/>
        </w:rPr>
        <w:t xml:space="preserve"> general </w:t>
      </w:r>
      <w:proofErr w:type="spellStart"/>
      <w:r>
        <w:rPr>
          <w:rFonts w:ascii="Times New Roman" w:hAnsi="Times New Roman"/>
          <w:color w:val="auto"/>
        </w:rPr>
        <w:t>consolidat</w:t>
      </w:r>
      <w:proofErr w:type="spellEnd"/>
      <w:r>
        <w:rPr>
          <w:rFonts w:ascii="Times New Roman" w:hAnsi="Times New Roman"/>
          <w:color w:val="auto"/>
        </w:rPr>
        <w:t xml:space="preserve"> al </w:t>
      </w:r>
      <w:proofErr w:type="spellStart"/>
      <w:r>
        <w:rPr>
          <w:rFonts w:ascii="Times New Roman" w:hAnsi="Times New Roman"/>
          <w:color w:val="auto"/>
        </w:rPr>
        <w:t>României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în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anul</w:t>
      </w:r>
      <w:proofErr w:type="spellEnd"/>
      <w:r>
        <w:rPr>
          <w:rFonts w:ascii="Times New Roman" w:hAnsi="Times New Roman"/>
          <w:color w:val="auto"/>
        </w:rPr>
        <w:t xml:space="preserve"> 2024,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modificarea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completarea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unor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acte</w:t>
      </w:r>
      <w:proofErr w:type="spellEnd"/>
      <w:r>
        <w:rPr>
          <w:rFonts w:ascii="Times New Roman" w:hAnsi="Times New Roman"/>
          <w:color w:val="auto"/>
        </w:rPr>
        <w:t xml:space="preserve"> normative, cu </w:t>
      </w:r>
      <w:proofErr w:type="spellStart"/>
      <w:r>
        <w:rPr>
          <w:rFonts w:ascii="Times New Roman" w:hAnsi="Times New Roman"/>
          <w:color w:val="auto"/>
        </w:rPr>
        <w:t>modificările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completările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ulterioare</w:t>
      </w:r>
      <w:proofErr w:type="spellEnd"/>
      <w:r>
        <w:rPr>
          <w:rFonts w:ascii="Times New Roman" w:hAnsi="Times New Roman"/>
          <w:color w:val="auto"/>
        </w:rPr>
        <w:t xml:space="preserve">, restante la data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certificat</w:t>
      </w:r>
      <w:r>
        <w:rPr>
          <w:rFonts w:ascii="Times New Roman" w:hAnsi="Times New Roman"/>
          <w:color w:val="auto"/>
          <w:vertAlign w:val="superscript"/>
        </w:rPr>
        <w:t>7)</w:t>
      </w:r>
    </w:p>
    <w:tbl>
      <w:tblPr>
        <w:tblW w:w="98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457"/>
        <w:gridCol w:w="1530"/>
        <w:gridCol w:w="1890"/>
      </w:tblGrid>
      <w:tr w:rsidR="0051234B">
        <w:tc>
          <w:tcPr>
            <w:tcW w:w="9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4B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B509D9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34B" w:rsidRDefault="0051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34B" w:rsidRDefault="00B509D9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ind w:left="298" w:right="72"/>
        <w:jc w:val="both"/>
        <w:rPr>
          <w:rFonts w:ascii="Times New Roman" w:eastAsia="SimSun" w:hAnsi="Times New Roman"/>
          <w:szCs w:val="18"/>
        </w:rPr>
      </w:pPr>
      <w:r>
        <w:rPr>
          <w:rFonts w:ascii="Times New Roman" w:hAnsi="Times New Roman"/>
          <w:b/>
          <w:bCs/>
          <w:szCs w:val="18"/>
        </w:rPr>
        <w:t xml:space="preserve">7) </w:t>
      </w:r>
      <w:r>
        <w:rPr>
          <w:rFonts w:ascii="Times New Roman" w:eastAsia="SimSun" w:hAnsi="Times New Roman"/>
          <w:szCs w:val="18"/>
        </w:rPr>
        <w:t xml:space="preserve">Nu </w:t>
      </w:r>
      <w:proofErr w:type="spellStart"/>
      <w:r>
        <w:rPr>
          <w:rFonts w:ascii="Times New Roman" w:eastAsia="SimSun" w:hAnsi="Times New Roman"/>
          <w:szCs w:val="18"/>
        </w:rPr>
        <w:t>fac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obiectul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anulării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obligaţii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bugetare</w:t>
      </w:r>
      <w:proofErr w:type="spellEnd"/>
      <w:r>
        <w:rPr>
          <w:rFonts w:ascii="Times New Roman" w:eastAsia="SimSun" w:hAnsi="Times New Roman"/>
          <w:szCs w:val="18"/>
        </w:rPr>
        <w:t>:</w:t>
      </w:r>
    </w:p>
    <w:p w:rsidR="0051234B" w:rsidRDefault="00B509D9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ind w:right="72"/>
        <w:jc w:val="both"/>
        <w:rPr>
          <w:rFonts w:ascii="Times New Roman" w:eastAsia="SimSun" w:hAnsi="Times New Roman"/>
          <w:szCs w:val="18"/>
        </w:rPr>
      </w:pPr>
      <w:r>
        <w:rPr>
          <w:rStyle w:val="salnttl1"/>
          <w:rFonts w:ascii="Times New Roman" w:eastAsia="SimSun" w:hAnsi="Times New Roman"/>
          <w:color w:val="auto"/>
          <w:szCs w:val="18"/>
        </w:rPr>
        <w:t xml:space="preserve">a) </w:t>
      </w:r>
      <w:proofErr w:type="spellStart"/>
      <w:r>
        <w:rPr>
          <w:rFonts w:ascii="Times New Roman" w:eastAsia="SimSun" w:hAnsi="Times New Roman"/>
          <w:szCs w:val="18"/>
        </w:rPr>
        <w:t>reprezentând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ajutor</w:t>
      </w:r>
      <w:proofErr w:type="spellEnd"/>
      <w:r>
        <w:rPr>
          <w:rFonts w:ascii="Times New Roman" w:eastAsia="SimSun" w:hAnsi="Times New Roman"/>
          <w:szCs w:val="18"/>
        </w:rPr>
        <w:t xml:space="preserve"> de stat de </w:t>
      </w:r>
      <w:proofErr w:type="spellStart"/>
      <w:r>
        <w:rPr>
          <w:rFonts w:ascii="Times New Roman" w:eastAsia="SimSun" w:hAnsi="Times New Roman"/>
          <w:szCs w:val="18"/>
        </w:rPr>
        <w:t>recuperat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sau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fonduri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ce</w:t>
      </w:r>
      <w:proofErr w:type="spellEnd"/>
      <w:r>
        <w:rPr>
          <w:rFonts w:ascii="Times New Roman" w:eastAsia="SimSun" w:hAnsi="Times New Roman"/>
          <w:szCs w:val="18"/>
        </w:rPr>
        <w:t xml:space="preserve"> se </w:t>
      </w:r>
      <w:proofErr w:type="spellStart"/>
      <w:r>
        <w:rPr>
          <w:rFonts w:ascii="Times New Roman" w:eastAsia="SimSun" w:hAnsi="Times New Roman"/>
          <w:szCs w:val="18"/>
        </w:rPr>
        <w:t>cuvin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bugetului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Uniunii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Europene</w:t>
      </w:r>
      <w:proofErr w:type="spellEnd"/>
      <w:r>
        <w:rPr>
          <w:rFonts w:ascii="Times New Roman" w:eastAsia="SimSun" w:hAnsi="Times New Roman"/>
          <w:szCs w:val="18"/>
        </w:rPr>
        <w:t>.</w:t>
      </w:r>
    </w:p>
    <w:p w:rsidR="0051234B" w:rsidRDefault="00B509D9">
      <w:pPr>
        <w:adjustRightInd w:val="0"/>
        <w:spacing w:after="0" w:line="240" w:lineRule="auto"/>
        <w:jc w:val="both"/>
        <w:rPr>
          <w:rFonts w:ascii="Times New Roman" w:eastAsia="SimSun" w:hAnsi="Times New Roman"/>
          <w:szCs w:val="18"/>
        </w:rPr>
      </w:pPr>
      <w:r>
        <w:rPr>
          <w:rFonts w:ascii="Times New Roman" w:eastAsia="SimSun" w:hAnsi="Times New Roman"/>
          <w:szCs w:val="18"/>
        </w:rPr>
        <w:t xml:space="preserve">b) care </w:t>
      </w:r>
      <w:proofErr w:type="spellStart"/>
      <w:r>
        <w:rPr>
          <w:rFonts w:ascii="Times New Roman" w:eastAsia="SimSun" w:hAnsi="Times New Roman"/>
          <w:szCs w:val="18"/>
        </w:rPr>
        <w:t>fac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obiectul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unor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procese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penale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aflate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în</w:t>
      </w:r>
      <w:proofErr w:type="spellEnd"/>
      <w:r>
        <w:rPr>
          <w:rFonts w:ascii="Times New Roman" w:eastAsia="SimSun" w:hAnsi="Times New Roman"/>
          <w:szCs w:val="18"/>
        </w:rPr>
        <w:t xml:space="preserve"> curs de </w:t>
      </w:r>
      <w:proofErr w:type="spellStart"/>
      <w:r>
        <w:rPr>
          <w:rFonts w:ascii="Times New Roman" w:eastAsia="SimSun" w:hAnsi="Times New Roman"/>
          <w:szCs w:val="18"/>
        </w:rPr>
        <w:t>desfășurare</w:t>
      </w:r>
      <w:proofErr w:type="spellEnd"/>
      <w:r>
        <w:rPr>
          <w:rFonts w:ascii="Times New Roman" w:eastAsia="SimSun" w:hAnsi="Times New Roman"/>
          <w:szCs w:val="18"/>
        </w:rPr>
        <w:t xml:space="preserve"> la data </w:t>
      </w:r>
      <w:proofErr w:type="spellStart"/>
      <w:r>
        <w:rPr>
          <w:rFonts w:ascii="Times New Roman" w:eastAsia="SimSun" w:hAnsi="Times New Roman"/>
          <w:szCs w:val="18"/>
        </w:rPr>
        <w:t>intrării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în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vigoare</w:t>
      </w:r>
      <w:proofErr w:type="spellEnd"/>
      <w:r>
        <w:rPr>
          <w:rFonts w:ascii="Times New Roman" w:eastAsia="SimSun" w:hAnsi="Times New Roman"/>
          <w:szCs w:val="18"/>
        </w:rPr>
        <w:t xml:space="preserve"> a </w:t>
      </w:r>
      <w:proofErr w:type="spellStart"/>
      <w:r>
        <w:rPr>
          <w:rFonts w:ascii="Times New Roman" w:eastAsia="SimSun" w:hAnsi="Times New Roman"/>
          <w:szCs w:val="18"/>
        </w:rPr>
        <w:t>ordonanței</w:t>
      </w:r>
      <w:proofErr w:type="spellEnd"/>
      <w:r>
        <w:rPr>
          <w:rFonts w:ascii="Times New Roman" w:eastAsia="SimSun" w:hAnsi="Times New Roman"/>
          <w:szCs w:val="18"/>
        </w:rPr>
        <w:t xml:space="preserve"> de </w:t>
      </w:r>
      <w:proofErr w:type="spellStart"/>
      <w:r>
        <w:rPr>
          <w:rFonts w:ascii="Times New Roman" w:eastAsia="SimSun" w:hAnsi="Times New Roman"/>
          <w:szCs w:val="18"/>
        </w:rPr>
        <w:t>urgență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sau</w:t>
      </w:r>
      <w:proofErr w:type="spellEnd"/>
      <w:r>
        <w:rPr>
          <w:rFonts w:ascii="Times New Roman" w:eastAsia="SimSun" w:hAnsi="Times New Roman"/>
          <w:szCs w:val="18"/>
        </w:rPr>
        <w:t xml:space="preserve"> care </w:t>
      </w:r>
      <w:proofErr w:type="spellStart"/>
      <w:r>
        <w:rPr>
          <w:rFonts w:ascii="Times New Roman" w:eastAsia="SimSun" w:hAnsi="Times New Roman"/>
          <w:szCs w:val="18"/>
        </w:rPr>
        <w:t>încep</w:t>
      </w:r>
      <w:proofErr w:type="spellEnd"/>
      <w:r>
        <w:rPr>
          <w:rFonts w:ascii="Times New Roman" w:eastAsia="SimSun" w:hAnsi="Times New Roman"/>
          <w:szCs w:val="18"/>
        </w:rPr>
        <w:t xml:space="preserve"> ulterior </w:t>
      </w:r>
      <w:proofErr w:type="spellStart"/>
      <w:r>
        <w:rPr>
          <w:rFonts w:ascii="Times New Roman" w:eastAsia="SimSun" w:hAnsi="Times New Roman"/>
          <w:szCs w:val="18"/>
        </w:rPr>
        <w:t>acestei</w:t>
      </w:r>
      <w:proofErr w:type="spellEnd"/>
      <w:r>
        <w:rPr>
          <w:rFonts w:ascii="Times New Roman" w:eastAsia="SimSun" w:hAnsi="Times New Roman"/>
          <w:szCs w:val="18"/>
        </w:rPr>
        <w:t xml:space="preserve"> date;</w:t>
      </w:r>
    </w:p>
    <w:p w:rsidR="0051234B" w:rsidRDefault="00B509D9">
      <w:pPr>
        <w:adjustRightInd w:val="0"/>
        <w:spacing w:after="0" w:line="240" w:lineRule="auto"/>
        <w:rPr>
          <w:rFonts w:ascii="Times New Roman" w:eastAsia="SimSun" w:hAnsi="Times New Roman"/>
          <w:szCs w:val="18"/>
        </w:rPr>
      </w:pPr>
      <w:r>
        <w:rPr>
          <w:rFonts w:ascii="Times New Roman" w:eastAsia="SimSun" w:hAnsi="Times New Roman"/>
          <w:szCs w:val="18"/>
        </w:rPr>
        <w:t xml:space="preserve">c) </w:t>
      </w:r>
      <w:proofErr w:type="spellStart"/>
      <w:r>
        <w:rPr>
          <w:rFonts w:ascii="Times New Roman" w:eastAsia="SimSun" w:hAnsi="Times New Roman"/>
          <w:szCs w:val="18"/>
        </w:rPr>
        <w:t>stabilite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prin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hotărâri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penale</w:t>
      </w:r>
      <w:proofErr w:type="spellEnd"/>
      <w:r>
        <w:rPr>
          <w:rFonts w:ascii="Times New Roman" w:eastAsia="SimSun" w:hAnsi="Times New Roman"/>
          <w:szCs w:val="18"/>
        </w:rPr>
        <w:t xml:space="preserve"> definitive;</w:t>
      </w:r>
    </w:p>
    <w:p w:rsidR="0051234B" w:rsidRDefault="00B509D9">
      <w:pPr>
        <w:adjustRightInd w:val="0"/>
        <w:spacing w:after="0" w:line="240" w:lineRule="auto"/>
        <w:jc w:val="both"/>
        <w:rPr>
          <w:rFonts w:ascii="Times New Roman" w:eastAsia="SimSun" w:hAnsi="Times New Roman"/>
          <w:szCs w:val="18"/>
        </w:rPr>
      </w:pPr>
      <w:r>
        <w:rPr>
          <w:rFonts w:ascii="Times New Roman" w:eastAsia="SimSun" w:hAnsi="Times New Roman"/>
          <w:szCs w:val="18"/>
        </w:rPr>
        <w:t xml:space="preserve">d) </w:t>
      </w:r>
      <w:proofErr w:type="spellStart"/>
      <w:r>
        <w:rPr>
          <w:rFonts w:ascii="Times New Roman" w:eastAsia="SimSun" w:hAnsi="Times New Roman"/>
          <w:szCs w:val="18"/>
        </w:rPr>
        <w:t>reprezentând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prejudicii</w:t>
      </w:r>
      <w:proofErr w:type="spellEnd"/>
      <w:r>
        <w:rPr>
          <w:rFonts w:ascii="Times New Roman" w:eastAsia="SimSun" w:hAnsi="Times New Roman"/>
          <w:szCs w:val="18"/>
        </w:rPr>
        <w:t xml:space="preserve"> care </w:t>
      </w:r>
      <w:proofErr w:type="spellStart"/>
      <w:r>
        <w:rPr>
          <w:rFonts w:ascii="Times New Roman" w:eastAsia="SimSun" w:hAnsi="Times New Roman"/>
          <w:szCs w:val="18"/>
        </w:rPr>
        <w:t>fac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obiectul</w:t>
      </w:r>
      <w:proofErr w:type="spellEnd"/>
      <w:r>
        <w:rPr>
          <w:rFonts w:ascii="Times New Roman" w:eastAsia="SimSun" w:hAnsi="Times New Roman"/>
          <w:szCs w:val="18"/>
        </w:rPr>
        <w:t xml:space="preserve"> art. 10 din </w:t>
      </w:r>
      <w:proofErr w:type="spellStart"/>
      <w:r>
        <w:rPr>
          <w:rFonts w:ascii="Times New Roman" w:eastAsia="SimSun" w:hAnsi="Times New Roman"/>
          <w:szCs w:val="18"/>
        </w:rPr>
        <w:t>Legea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nr</w:t>
      </w:r>
      <w:proofErr w:type="spellEnd"/>
      <w:r>
        <w:rPr>
          <w:rFonts w:ascii="Times New Roman" w:eastAsia="SimSun" w:hAnsi="Times New Roman"/>
          <w:szCs w:val="18"/>
        </w:rPr>
        <w:t xml:space="preserve">. 241/2005 </w:t>
      </w:r>
      <w:proofErr w:type="spellStart"/>
      <w:r>
        <w:rPr>
          <w:rFonts w:ascii="Times New Roman" w:eastAsia="SimSun" w:hAnsi="Times New Roman"/>
          <w:szCs w:val="18"/>
        </w:rPr>
        <w:t>pentru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prevenirea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și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combaterea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evaziunii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fiscale</w:t>
      </w:r>
      <w:proofErr w:type="spellEnd"/>
      <w:r>
        <w:rPr>
          <w:rFonts w:ascii="Times New Roman" w:eastAsia="SimSun" w:hAnsi="Times New Roman"/>
          <w:szCs w:val="18"/>
        </w:rPr>
        <w:t xml:space="preserve">, cu </w:t>
      </w:r>
      <w:proofErr w:type="spellStart"/>
      <w:r>
        <w:rPr>
          <w:rFonts w:ascii="Times New Roman" w:eastAsia="SimSun" w:hAnsi="Times New Roman"/>
          <w:szCs w:val="18"/>
        </w:rPr>
        <w:t>modificările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și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completările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ulterioare</w:t>
      </w:r>
      <w:proofErr w:type="spellEnd"/>
      <w:r>
        <w:rPr>
          <w:rFonts w:ascii="Times New Roman" w:eastAsia="SimSun" w:hAnsi="Times New Roman"/>
          <w:szCs w:val="18"/>
        </w:rPr>
        <w:t>.</w:t>
      </w:r>
    </w:p>
    <w:p w:rsidR="0051234B" w:rsidRDefault="0051234B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34B" w:rsidRDefault="00B509D9">
      <w:pPr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certificat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atestare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eliberează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vederea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stabilirii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pot face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obiectul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facilităților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107/2024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reglementarea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masuri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fiscal-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domeniul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gestionării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creanțelor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deficitului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general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consolidat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României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2024,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precum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normative,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</w:t>
      </w:r>
    </w:p>
    <w:p w:rsidR="0051234B" w:rsidRDefault="0051234B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34B" w:rsidRDefault="0051234B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34B" w:rsidRDefault="0051234B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34B" w:rsidRDefault="0051234B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34B" w:rsidRDefault="00B509D9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central,</w:t>
      </w:r>
    </w:p>
    <w:p w:rsidR="0051234B" w:rsidRDefault="00B509D9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>: .......................................</w:t>
      </w:r>
    </w:p>
    <w:p w:rsidR="0051234B" w:rsidRDefault="00B509D9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central: ..................</w:t>
      </w:r>
    </w:p>
    <w:p w:rsidR="0051234B" w:rsidRDefault="0051234B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1234B" w:rsidRDefault="0051234B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1234B" w:rsidRDefault="0051234B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1234B" w:rsidRDefault="0051234B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1234B" w:rsidRDefault="0051234B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1234B" w:rsidRDefault="00B509D9">
      <w:pPr>
        <w:pStyle w:val="sanxttl"/>
        <w:spacing w:after="0" w:line="240" w:lineRule="auto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Document care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conţine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date cu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caracter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personal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protejate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prevederile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  <w:shd w:val="clear" w:color="auto" w:fill="FFFFFF"/>
        </w:rPr>
        <w:t>Regulamentului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  <w:shd w:val="clear" w:color="auto" w:fill="FFFFFF"/>
        </w:rPr>
        <w:t xml:space="preserve"> (UE) 2016/679</w:t>
      </w:r>
    </w:p>
    <w:sectPr w:rsidR="0051234B">
      <w:pgSz w:w="12240" w:h="15840"/>
      <w:pgMar w:top="720" w:right="720" w:bottom="72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33FE"/>
    <w:multiLevelType w:val="multilevel"/>
    <w:tmpl w:val="1C2333FE"/>
    <w:lvl w:ilvl="0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4B"/>
    <w:rsid w:val="00146E40"/>
    <w:rsid w:val="0051234B"/>
    <w:rsid w:val="00746079"/>
    <w:rsid w:val="00B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55507DD-D29C-4D38-AB45-0B9DF47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spacing w:beforeAutospacing="1" w:afterAutospacing="1"/>
      <w:outlineLvl w:val="2"/>
    </w:pPr>
    <w:rPr>
      <w:rFonts w:ascii="SimSun" w:eastAsia="SimSun" w:hAnsi="SimSun" w:hint="eastAsia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spacing w:beforeAutospacing="1" w:afterAutospacing="1"/>
      <w:outlineLvl w:val="3"/>
    </w:pPr>
    <w:rPr>
      <w:rFonts w:ascii="SimSun" w:eastAsia="SimSun" w:hAnsi="SimSun" w:hint="eastAsi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Autospacing="1" w:afterAutospacing="1"/>
      <w:outlineLvl w:val="4"/>
    </w:pPr>
    <w:rPr>
      <w:rFonts w:ascii="SimSun" w:eastAsia="SimSun" w:hAnsi="SimSun" w:hint="eastAsi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Autospacing="1" w:afterAutospacing="1"/>
      <w:outlineLvl w:val="5"/>
    </w:pPr>
    <w:rPr>
      <w:rFonts w:ascii="SimSun" w:eastAsia="SimSun" w:hAnsi="SimSun" w:hint="eastAsi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hint="eastAsia"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Calibri" w:eastAsia="Calibri" w:hAnsi="Calibri"/>
      <w:sz w:val="24"/>
      <w:szCs w:val="24"/>
    </w:rPr>
  </w:style>
  <w:style w:type="character" w:styleId="HTMLCite">
    <w:name w:val="HTML Cite"/>
    <w:qFormat/>
    <w:rPr>
      <w:i/>
      <w:iCs/>
      <w:shd w:val="clear" w:color="auto" w:fill="FFFF00"/>
    </w:rPr>
  </w:style>
  <w:style w:type="paragraph" w:customStyle="1" w:styleId="snccshort">
    <w:name w:val="s_ncc_short"/>
    <w:basedOn w:val="Normal"/>
    <w:qFormat/>
    <w:rPr>
      <w:rFonts w:ascii="Arial" w:eastAsia="Calibri" w:hAnsi="Arial"/>
      <w:vanish/>
      <w:sz w:val="24"/>
      <w:szCs w:val="24"/>
    </w:rPr>
  </w:style>
  <w:style w:type="paragraph" w:customStyle="1" w:styleId="sden">
    <w:name w:val="s_den"/>
    <w:basedOn w:val="Normal"/>
    <w:qFormat/>
    <w:pPr>
      <w:jc w:val="center"/>
    </w:pPr>
    <w:rPr>
      <w:rFonts w:eastAsia="Calibri"/>
      <w:b/>
      <w:bCs/>
      <w:color w:val="8B0000"/>
      <w:sz w:val="30"/>
      <w:szCs w:val="30"/>
    </w:rPr>
  </w:style>
  <w:style w:type="paragraph" w:customStyle="1" w:styleId="sttlden">
    <w:name w:val="s_ttl_den"/>
    <w:basedOn w:val="Normal"/>
    <w:pPr>
      <w:jc w:val="center"/>
    </w:pPr>
    <w:rPr>
      <w:rFonts w:eastAsia="Calibri"/>
      <w:b/>
      <w:bCs/>
      <w:color w:val="8B0000"/>
      <w:sz w:val="25"/>
      <w:szCs w:val="25"/>
    </w:rPr>
  </w:style>
  <w:style w:type="paragraph" w:customStyle="1" w:styleId="slit">
    <w:name w:val="s_lit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ind w:left="225"/>
    </w:pPr>
    <w:rPr>
      <w:rFonts w:ascii="Calibri" w:eastAsia="Calibri" w:hAnsi="Calibri"/>
      <w:sz w:val="24"/>
      <w:szCs w:val="24"/>
    </w:rPr>
  </w:style>
  <w:style w:type="paragraph" w:customStyle="1" w:styleId="slgd">
    <w:name w:val="s_lgd"/>
    <w:basedOn w:val="Normal"/>
    <w:rPr>
      <w:rFonts w:ascii="Calibri" w:eastAsia="Calibri" w:hAnsi="Calibri"/>
      <w:color w:val="24689B"/>
      <w:sz w:val="24"/>
      <w:szCs w:val="24"/>
      <w:u w:val="single"/>
    </w:rPr>
  </w:style>
  <w:style w:type="paragraph" w:customStyle="1" w:styleId="sapnttl">
    <w:name w:val="s_apn_ttl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8" w:color="FEFEFE"/>
        <w:bottom w:val="dotted" w:sz="6" w:space="0" w:color="FEFEFE"/>
        <w:right w:val="dotted" w:sz="6" w:space="0" w:color="FEFEFE"/>
      </w:pBdr>
    </w:pPr>
    <w:rPr>
      <w:rFonts w:ascii="Calibri" w:eastAsia="Calibri" w:hAnsi="Calibri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288" w:right="72"/>
    </w:pPr>
    <w:rPr>
      <w:rFonts w:ascii="Calibri" w:eastAsia="Calibri" w:hAnsi="Calibri"/>
      <w:sz w:val="24"/>
      <w:szCs w:val="24"/>
    </w:rPr>
  </w:style>
  <w:style w:type="paragraph" w:customStyle="1" w:styleId="sntapar">
    <w:name w:val="s_nta_par"/>
    <w:basedOn w:val="Normal"/>
    <w:rPr>
      <w:rFonts w:eastAsia="Calibri"/>
      <w:color w:val="000000"/>
      <w:sz w:val="16"/>
    </w:rPr>
  </w:style>
  <w:style w:type="paragraph" w:customStyle="1" w:styleId="slitshort">
    <w:name w:val="s_li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porden">
    <w:name w:val="s_por_den"/>
    <w:basedOn w:val="Normal"/>
    <w:qFormat/>
    <w:rPr>
      <w:rFonts w:eastAsia="Calibri"/>
      <w:b/>
      <w:bCs/>
      <w:color w:val="8B0000"/>
      <w:sz w:val="21"/>
      <w:szCs w:val="21"/>
    </w:rPr>
  </w:style>
  <w:style w:type="paragraph" w:customStyle="1" w:styleId="spantxtcolorat">
    <w:name w:val="spantxtcolorat"/>
    <w:basedOn w:val="Normal"/>
    <w:qFormat/>
    <w:pPr>
      <w:shd w:val="clear" w:color="auto" w:fill="FF0000"/>
    </w:pPr>
    <w:rPr>
      <w:rFonts w:ascii="Calibri" w:eastAsia="Calibri" w:hAnsi="Calibri"/>
      <w:sz w:val="24"/>
      <w:szCs w:val="24"/>
    </w:rPr>
  </w:style>
  <w:style w:type="paragraph" w:customStyle="1" w:styleId="small">
    <w:name w:val="small"/>
    <w:basedOn w:val="Normal"/>
    <w:rPr>
      <w:sz w:val="2"/>
      <w:szCs w:val="2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linshort">
    <w:name w:val="s_li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nccpar">
    <w:name w:val="s_ncc_par"/>
    <w:basedOn w:val="Normal"/>
    <w:rPr>
      <w:rFonts w:eastAsia="Calibri"/>
      <w:color w:val="808080"/>
      <w:sz w:val="16"/>
    </w:rPr>
  </w:style>
  <w:style w:type="paragraph" w:customStyle="1" w:styleId="sartttl">
    <w:name w:val="s_art_ttl"/>
    <w:basedOn w:val="Normal"/>
    <w:rPr>
      <w:rFonts w:eastAsia="Calibri"/>
      <w:b/>
      <w:bCs/>
      <w:color w:val="24689B"/>
      <w:sz w:val="19"/>
      <w:szCs w:val="19"/>
    </w:rPr>
  </w:style>
  <w:style w:type="paragraph" w:customStyle="1" w:styleId="scit">
    <w:name w:val="s_cit"/>
    <w:basedOn w:val="Normal"/>
    <w:pPr>
      <w:shd w:val="clear" w:color="auto" w:fill="FFFF00"/>
      <w:spacing w:before="144" w:after="144"/>
      <w:ind w:left="144" w:right="144"/>
    </w:pPr>
    <w:rPr>
      <w:rFonts w:ascii="Calibri" w:eastAsia="Calibri" w:hAnsi="Calibri"/>
      <w:sz w:val="16"/>
    </w:rPr>
  </w:style>
  <w:style w:type="paragraph" w:customStyle="1" w:styleId="sntashort">
    <w:name w:val="s_nta_short"/>
    <w:basedOn w:val="Normal"/>
    <w:rPr>
      <w:rFonts w:ascii="Arial" w:eastAsia="Calibri" w:hAnsi="Arial"/>
      <w:vanish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pub">
    <w:name w:val="s_pub"/>
    <w:basedOn w:val="Normal"/>
    <w:pPr>
      <w:spacing w:before="144" w:after="144"/>
      <w:ind w:left="144" w:right="144"/>
    </w:pPr>
    <w:rPr>
      <w:rFonts w:ascii="Arial" w:eastAsia="Calibri" w:hAnsi="Arial"/>
      <w:b/>
      <w:bCs/>
      <w:color w:val="000000"/>
      <w:sz w:val="21"/>
      <w:szCs w:val="21"/>
    </w:rPr>
  </w:style>
  <w:style w:type="paragraph" w:customStyle="1" w:styleId="semtttl">
    <w:name w:val="s_emt_ttl"/>
    <w:basedOn w:val="Normal"/>
    <w:rPr>
      <w:rFonts w:ascii="Arial" w:eastAsia="Calibri" w:hAnsi="Arial"/>
      <w:b/>
      <w:bCs/>
      <w:color w:val="000000"/>
      <w:sz w:val="21"/>
      <w:szCs w:val="21"/>
    </w:rPr>
  </w:style>
  <w:style w:type="paragraph" w:customStyle="1" w:styleId="scrtttl">
    <w:name w:val="s_crt_ttl"/>
    <w:basedOn w:val="Normal"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anxden">
    <w:name w:val="s_anx_den"/>
    <w:basedOn w:val="Normal"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sttl">
    <w:name w:val="s_ttl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pctttl">
    <w:name w:val="s_pct_ttl"/>
    <w:basedOn w:val="Normal"/>
    <w:rPr>
      <w:rFonts w:eastAsia="Calibri"/>
      <w:b/>
      <w:bCs/>
      <w:color w:val="8B0000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porttl">
    <w:name w:val="s_por_ttl"/>
    <w:basedOn w:val="Normal"/>
    <w:rPr>
      <w:rFonts w:eastAsia="Calibri"/>
      <w:b/>
      <w:bCs/>
      <w:color w:val="8B0000"/>
      <w:sz w:val="21"/>
      <w:szCs w:val="21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288" w:right="72"/>
    </w:pPr>
    <w:rPr>
      <w:rFonts w:ascii="Calibri" w:eastAsia="Calibri" w:hAnsi="Calibri"/>
      <w:sz w:val="24"/>
      <w:szCs w:val="24"/>
    </w:rPr>
  </w:style>
  <w:style w:type="paragraph" w:customStyle="1" w:styleId="rosuinchis">
    <w:name w:val="rosuinchis"/>
    <w:basedOn w:val="Normal"/>
    <w:rPr>
      <w:rFonts w:ascii="Calibri" w:eastAsia="Calibri" w:hAnsi="Calibri"/>
      <w:color w:val="8B0000"/>
      <w:sz w:val="24"/>
      <w:szCs w:val="24"/>
    </w:rPr>
  </w:style>
  <w:style w:type="paragraph" w:customStyle="1" w:styleId="sprg">
    <w:name w:val="s_prg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ind w:right="72"/>
    </w:pPr>
    <w:rPr>
      <w:rFonts w:ascii="Arial" w:eastAsia="Calibri" w:hAnsi="Arial"/>
      <w:vanish/>
      <w:szCs w:val="18"/>
    </w:rPr>
  </w:style>
  <w:style w:type="paragraph" w:customStyle="1" w:styleId="sapnden">
    <w:name w:val="s_apn_den"/>
    <w:basedOn w:val="Normal"/>
    <w:rPr>
      <w:rFonts w:eastAsia="Calibri"/>
      <w:b/>
      <w:bCs/>
      <w:color w:val="24689B"/>
      <w:sz w:val="19"/>
      <w:szCs w:val="19"/>
    </w:rPr>
  </w:style>
  <w:style w:type="paragraph" w:customStyle="1" w:styleId="semt">
    <w:name w:val="s_emt"/>
    <w:basedOn w:val="Normal"/>
    <w:pPr>
      <w:ind w:left="144"/>
    </w:pPr>
    <w:rPr>
      <w:rFonts w:ascii="Calibri" w:eastAsia="Calibri" w:hAnsi="Calibri"/>
      <w:sz w:val="24"/>
      <w:szCs w:val="24"/>
    </w:rPr>
  </w:style>
  <w:style w:type="paragraph" w:customStyle="1" w:styleId="spar">
    <w:name w:val="s_par"/>
    <w:basedOn w:val="Normal"/>
    <w:pPr>
      <w:ind w:left="225"/>
    </w:pPr>
    <w:rPr>
      <w:rFonts w:ascii="Calibri" w:eastAsia="Calibri" w:hAnsi="Calibri"/>
      <w:sz w:val="24"/>
      <w:szCs w:val="24"/>
    </w:rPr>
  </w:style>
  <w:style w:type="paragraph" w:customStyle="1" w:styleId="spar2">
    <w:name w:val="s_par2"/>
    <w:basedOn w:val="Normal"/>
    <w:qFormat/>
    <w:rPr>
      <w:rFonts w:eastAsia="Calibri"/>
      <w:sz w:val="15"/>
      <w:szCs w:val="15"/>
    </w:rPr>
  </w:style>
  <w:style w:type="paragraph" w:customStyle="1" w:styleId="spar4">
    <w:name w:val="s_par4"/>
    <w:basedOn w:val="Normal"/>
    <w:qFormat/>
    <w:rPr>
      <w:rFonts w:eastAsia="Calibri"/>
      <w:sz w:val="10"/>
      <w:szCs w:val="10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</w:pPr>
    <w:rPr>
      <w:rFonts w:ascii="Calibri" w:eastAsia="Calibri" w:hAnsi="Calibri"/>
      <w:sz w:val="24"/>
      <w:szCs w:val="24"/>
    </w:rPr>
  </w:style>
  <w:style w:type="paragraph" w:customStyle="1" w:styleId="ssbcttl">
    <w:name w:val="s_sbc_ttl"/>
    <w:basedOn w:val="Normal"/>
    <w:rPr>
      <w:rFonts w:eastAsia="Calibri"/>
      <w:b/>
      <w:bCs/>
      <w:color w:val="000000"/>
      <w:sz w:val="22"/>
      <w:szCs w:val="22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ind w:left="225"/>
    </w:pPr>
    <w:rPr>
      <w:rFonts w:ascii="Calibri" w:eastAsia="Calibri" w:hAnsi="Calibri"/>
      <w:sz w:val="24"/>
      <w:szCs w:val="24"/>
    </w:rPr>
  </w:style>
  <w:style w:type="paragraph" w:customStyle="1" w:styleId="shdr">
    <w:name w:val="s_hdr"/>
    <w:basedOn w:val="Normal"/>
    <w:pPr>
      <w:spacing w:before="72" w:after="72"/>
      <w:ind w:left="72" w:right="72"/>
    </w:pPr>
    <w:rPr>
      <w:rFonts w:eastAsia="Calibri"/>
      <w:b/>
      <w:bCs/>
      <w:color w:val="333333"/>
      <w:sz w:val="19"/>
      <w:szCs w:val="19"/>
    </w:rPr>
  </w:style>
  <w:style w:type="paragraph" w:customStyle="1" w:styleId="ssecden">
    <w:name w:val="s_sec_den"/>
    <w:basedOn w:val="Normal"/>
    <w:pPr>
      <w:jc w:val="center"/>
    </w:pPr>
    <w:rPr>
      <w:rFonts w:eastAsia="Calibri"/>
      <w:b/>
      <w:bCs/>
      <w:color w:val="000000"/>
      <w:sz w:val="22"/>
      <w:szCs w:val="22"/>
    </w:rPr>
  </w:style>
  <w:style w:type="paragraph" w:customStyle="1" w:styleId="aelementcenter">
    <w:name w:val="a_element_center"/>
    <w:basedOn w:val="Normal"/>
    <w:pPr>
      <w:spacing w:before="144" w:after="144"/>
      <w:jc w:val="center"/>
    </w:pPr>
    <w:rPr>
      <w:rFonts w:ascii="Calibri" w:eastAsia="Calibri" w:hAnsi="Calibri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aelementright">
    <w:name w:val="a_element_right"/>
    <w:basedOn w:val="Normal"/>
    <w:pPr>
      <w:spacing w:before="144" w:after="144"/>
      <w:jc w:val="right"/>
    </w:pPr>
    <w:rPr>
      <w:rFonts w:ascii="Calibri" w:eastAsia="Calibri" w:hAnsi="Calibri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aelementleft">
    <w:name w:val="a_element_left"/>
    <w:basedOn w:val="Normal"/>
    <w:pPr>
      <w:spacing w:before="144" w:after="144"/>
    </w:pPr>
    <w:rPr>
      <w:rFonts w:ascii="Calibri" w:eastAsia="Calibri" w:hAnsi="Calibri"/>
      <w:sz w:val="24"/>
      <w:szCs w:val="24"/>
    </w:rPr>
  </w:style>
  <w:style w:type="paragraph" w:customStyle="1" w:styleId="scapden">
    <w:name w:val="s_cap_den"/>
    <w:basedOn w:val="Normal"/>
    <w:pPr>
      <w:jc w:val="center"/>
    </w:pPr>
    <w:rPr>
      <w:rFonts w:eastAsia="Calibri"/>
      <w:b/>
      <w:bCs/>
      <w:color w:val="A52A2A"/>
      <w:sz w:val="24"/>
      <w:szCs w:val="24"/>
    </w:rPr>
  </w:style>
  <w:style w:type="paragraph" w:customStyle="1" w:styleId="srefttl">
    <w:name w:val="s_ref_ttl"/>
    <w:basedOn w:val="Normal"/>
    <w:rPr>
      <w:rFonts w:ascii="verdcana" w:eastAsia="verdcana" w:hAnsi="verdcana"/>
      <w:b/>
      <w:bCs/>
      <w:color w:val="24689B"/>
      <w:sz w:val="19"/>
      <w:szCs w:val="19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pubbdy">
    <w:name w:val="s_pub_bdy"/>
    <w:basedOn w:val="Normal"/>
    <w:rPr>
      <w:rFonts w:eastAsia="Calibri"/>
      <w:b/>
      <w:bCs/>
      <w:color w:val="24689B"/>
      <w:sz w:val="21"/>
      <w:szCs w:val="21"/>
    </w:rPr>
  </w:style>
  <w:style w:type="paragraph" w:customStyle="1" w:styleId="semtbdy">
    <w:name w:val="s_emt_bdy"/>
    <w:basedOn w:val="Normal"/>
    <w:rPr>
      <w:rFonts w:eastAsia="Calibri"/>
      <w:b/>
      <w:bCs/>
      <w:color w:val="006400"/>
      <w:szCs w:val="18"/>
    </w:rPr>
  </w:style>
  <w:style w:type="paragraph" w:customStyle="1" w:styleId="sanxttl">
    <w:name w:val="s_anx_ttl"/>
    <w:basedOn w:val="Normal"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sblcttl">
    <w:name w:val="s_blc_ttl"/>
    <w:basedOn w:val="Normal"/>
    <w:rPr>
      <w:rFonts w:eastAsia="Calibri"/>
      <w:b/>
      <w:bCs/>
      <w:color w:val="8B0000"/>
      <w:sz w:val="21"/>
      <w:szCs w:val="21"/>
    </w:rPr>
  </w:style>
  <w:style w:type="paragraph" w:customStyle="1" w:styleId="ssmnpar">
    <w:name w:val="s_smn_par"/>
    <w:basedOn w:val="Normal"/>
    <w:pPr>
      <w:jc w:val="center"/>
    </w:pPr>
    <w:rPr>
      <w:rFonts w:eastAsia="Calibri"/>
      <w:b/>
      <w:bCs/>
      <w:color w:val="24689B"/>
      <w:sz w:val="16"/>
    </w:rPr>
  </w:style>
  <w:style w:type="paragraph" w:customStyle="1" w:styleId="ssmn">
    <w:name w:val="s_smn"/>
    <w:basedOn w:val="Normal"/>
    <w:qFormat/>
    <w:pPr>
      <w:jc w:val="center"/>
    </w:pPr>
    <w:rPr>
      <w:rFonts w:ascii="Calibri" w:eastAsia="Calibri" w:hAnsi="Calibri"/>
      <w:sz w:val="24"/>
      <w:szCs w:val="24"/>
    </w:rPr>
  </w:style>
  <w:style w:type="paragraph" w:customStyle="1" w:styleId="sntattl">
    <w:name w:val="s_nta_ttl"/>
    <w:basedOn w:val="Normal"/>
    <w:rPr>
      <w:rFonts w:eastAsia="Calibri"/>
      <w:b/>
      <w:bCs/>
      <w:color w:val="24689B"/>
      <w:sz w:val="19"/>
      <w:szCs w:val="19"/>
    </w:rPr>
  </w:style>
  <w:style w:type="paragraph" w:customStyle="1" w:styleId="ssecttl">
    <w:name w:val="s_sec_ttl"/>
    <w:basedOn w:val="Normal"/>
    <w:pPr>
      <w:jc w:val="center"/>
    </w:pPr>
    <w:rPr>
      <w:rFonts w:eastAsia="Calibri"/>
      <w:b/>
      <w:bCs/>
      <w:color w:val="000000"/>
      <w:sz w:val="22"/>
      <w:szCs w:val="22"/>
    </w:rPr>
  </w:style>
  <w:style w:type="paragraph" w:customStyle="1" w:styleId="snccttl">
    <w:name w:val="s_ncc_ttl"/>
    <w:basedOn w:val="Normal"/>
    <w:rPr>
      <w:rFonts w:eastAsia="Calibri"/>
      <w:b/>
      <w:bCs/>
      <w:color w:val="24689B"/>
      <w:sz w:val="19"/>
      <w:szCs w:val="19"/>
    </w:rPr>
  </w:style>
  <w:style w:type="paragraph" w:customStyle="1" w:styleId="ssbcden">
    <w:name w:val="s_sbc_den"/>
    <w:basedOn w:val="Normal"/>
    <w:qFormat/>
    <w:rPr>
      <w:rFonts w:eastAsia="Calibri"/>
      <w:b/>
      <w:bCs/>
      <w:color w:val="000000"/>
      <w:sz w:val="22"/>
      <w:szCs w:val="22"/>
    </w:rPr>
  </w:style>
  <w:style w:type="paragraph" w:customStyle="1" w:styleId="sartden">
    <w:name w:val="s_art_den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crtden">
    <w:name w:val="s_crt_den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lgi">
    <w:name w:val="s_lgi"/>
    <w:basedOn w:val="Normal"/>
    <w:qFormat/>
    <w:rPr>
      <w:rFonts w:ascii="Calibri" w:eastAsia="Calibri" w:hAnsi="Calibri"/>
      <w:color w:val="006400"/>
      <w:sz w:val="24"/>
      <w:szCs w:val="24"/>
      <w:u w:val="single"/>
    </w:rPr>
  </w:style>
  <w:style w:type="paragraph" w:customStyle="1" w:styleId="sprtden">
    <w:name w:val="s_prt_den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rPr>
      <w:rFonts w:eastAsia="Calibri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rPr>
      <w:rFonts w:eastAsia="Calibri"/>
      <w:b/>
      <w:bCs/>
      <w:color w:val="8B0000"/>
      <w:sz w:val="24"/>
      <w:szCs w:val="24"/>
    </w:rPr>
  </w:style>
  <w:style w:type="paragraph" w:customStyle="1" w:styleId="sref">
    <w:name w:val="s_ref"/>
    <w:basedOn w:val="Normal"/>
    <w:pPr>
      <w:jc w:val="center"/>
    </w:pPr>
    <w:rPr>
      <w:rFonts w:ascii="Calibri" w:eastAsia="Calibri" w:hAnsi="Calibri"/>
      <w:sz w:val="24"/>
      <w:szCs w:val="24"/>
    </w:rPr>
  </w:style>
  <w:style w:type="paragraph" w:customStyle="1" w:styleId="slinttl">
    <w:name w:val="s_lin_ttl"/>
    <w:basedOn w:val="Normal"/>
    <w:rPr>
      <w:rFonts w:eastAsia="Calibri"/>
      <w:b/>
      <w:bCs/>
      <w:color w:val="24689B"/>
      <w:sz w:val="21"/>
      <w:szCs w:val="21"/>
    </w:rPr>
  </w:style>
  <w:style w:type="paragraph" w:customStyle="1" w:styleId="sttlttl">
    <w:name w:val="s_ttl_ttl"/>
    <w:basedOn w:val="Normal"/>
    <w:pPr>
      <w:jc w:val="center"/>
    </w:pPr>
    <w:rPr>
      <w:rFonts w:eastAsia="Calibri"/>
      <w:b/>
      <w:bCs/>
      <w:color w:val="8B0000"/>
      <w:sz w:val="25"/>
      <w:szCs w:val="25"/>
    </w:rPr>
  </w:style>
  <w:style w:type="paragraph" w:customStyle="1" w:styleId="scapttl">
    <w:name w:val="s_cap_ttl"/>
    <w:basedOn w:val="Normal"/>
    <w:pPr>
      <w:jc w:val="center"/>
    </w:pPr>
    <w:rPr>
      <w:rFonts w:eastAsia="Calibri"/>
      <w:b/>
      <w:bCs/>
      <w:color w:val="A52A2A"/>
      <w:sz w:val="24"/>
      <w:szCs w:val="24"/>
    </w:rPr>
  </w:style>
  <w:style w:type="paragraph" w:customStyle="1" w:styleId="sprgttl">
    <w:name w:val="s_prg_ttl"/>
    <w:basedOn w:val="Normal"/>
    <w:pPr>
      <w:jc w:val="center"/>
    </w:pPr>
    <w:rPr>
      <w:rFonts w:eastAsia="Calibri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jc w:val="center"/>
    </w:pPr>
    <w:rPr>
      <w:rFonts w:eastAsia="Calibri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0FFFF"/>
    </w:pPr>
    <w:rPr>
      <w:rFonts w:ascii="Calibri" w:eastAsia="Calibri" w:hAnsi="Calibri"/>
      <w:sz w:val="24"/>
      <w:szCs w:val="24"/>
    </w:rPr>
  </w:style>
  <w:style w:type="paragraph" w:customStyle="1" w:styleId="slge">
    <w:name w:val="s_lge"/>
    <w:basedOn w:val="Normal"/>
    <w:rPr>
      <w:rFonts w:ascii="Calibri" w:eastAsia="Calibri" w:hAnsi="Calibri"/>
      <w:color w:val="24689B"/>
      <w:sz w:val="24"/>
      <w:szCs w:val="24"/>
      <w:u w:val="single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</w:pPr>
    <w:rPr>
      <w:rFonts w:ascii="Calibri" w:eastAsia="Calibri" w:hAnsi="Calibri"/>
      <w:i/>
      <w:i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qFormat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link w:val="Heading2"/>
    <w:semiHidden/>
    <w:qFormat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link w:val="Heading3"/>
    <w:semiHidden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4Char">
    <w:name w:val="Heading 4 Char"/>
    <w:link w:val="Heading4"/>
    <w:semiHidden/>
    <w:rPr>
      <w:rFonts w:ascii="SimSun" w:eastAsia="SimSun" w:hAnsi="SimSu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semiHidden/>
    <w:qFormat/>
    <w:rPr>
      <w:rFonts w:ascii="SimSun" w:eastAsia="SimSun" w:hAnsi="SimSun" w:cs="Times New Roman"/>
      <w:b/>
      <w:bCs/>
      <w:sz w:val="20"/>
      <w:szCs w:val="20"/>
      <w:lang w:eastAsia="zh-CN"/>
    </w:rPr>
  </w:style>
  <w:style w:type="character" w:customStyle="1" w:styleId="Heading6Char">
    <w:name w:val="Heading 6 Char"/>
    <w:link w:val="Heading6"/>
    <w:semiHidden/>
    <w:qFormat/>
    <w:rPr>
      <w:rFonts w:ascii="SimSun" w:eastAsia="SimSun" w:hAnsi="SimSun" w:cs="Times New Roman"/>
      <w:b/>
      <w:bCs/>
      <w:sz w:val="15"/>
      <w:szCs w:val="15"/>
      <w:lang w:eastAsia="zh-CN"/>
    </w:rPr>
  </w:style>
  <w:style w:type="character" w:customStyle="1" w:styleId="HTMLPreformattedChar">
    <w:name w:val="HTML Preformatted Char"/>
    <w:link w:val="HTMLPreformatted"/>
    <w:qFormat/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sden1">
    <w:name w:val="s_den1"/>
    <w:rPr>
      <w:rFonts w:ascii="Verdana" w:hAnsi="Verdana" w:cs="Verdana" w:hint="default"/>
      <w:b/>
      <w:bCs/>
      <w:color w:val="8B0000"/>
      <w:sz w:val="30"/>
      <w:szCs w:val="30"/>
    </w:rPr>
  </w:style>
  <w:style w:type="character" w:customStyle="1" w:styleId="semtttl1">
    <w:name w:val="s_emt_ttl1"/>
    <w:rPr>
      <w:rFonts w:ascii="Arial" w:hAnsi="Arial" w:cs="Arial" w:hint="default"/>
      <w:b/>
      <w:bCs/>
      <w:color w:val="000000"/>
      <w:sz w:val="21"/>
      <w:szCs w:val="21"/>
    </w:rPr>
  </w:style>
  <w:style w:type="character" w:customStyle="1" w:styleId="semtbdy1">
    <w:name w:val="s_emt_bdy1"/>
    <w:rPr>
      <w:rFonts w:ascii="Verdana" w:hAnsi="Verdana" w:cs="Verdana" w:hint="default"/>
      <w:b/>
      <w:bCs/>
      <w:color w:val="006400"/>
      <w:sz w:val="18"/>
      <w:szCs w:val="18"/>
    </w:rPr>
  </w:style>
  <w:style w:type="character" w:customStyle="1" w:styleId="spubbdy1">
    <w:name w:val="s_pub_bdy1"/>
    <w:rPr>
      <w:rFonts w:ascii="Verdana" w:hAnsi="Verdana" w:cs="Verdana" w:hint="default"/>
      <w:b/>
      <w:bCs/>
      <w:color w:val="24689B"/>
      <w:sz w:val="21"/>
      <w:szCs w:val="21"/>
    </w:r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salnttl1">
    <w:name w:val="s_aln_ttl1"/>
    <w:rPr>
      <w:rFonts w:ascii="Verdana" w:hAnsi="Verdana" w:cs="Verdana" w:hint="default"/>
      <w:b/>
      <w:bCs/>
      <w:color w:val="8B0000"/>
    </w:rPr>
  </w:style>
  <w:style w:type="character" w:customStyle="1" w:styleId="slitttl1">
    <w:name w:val="s_lit_ttl1"/>
    <w:rPr>
      <w:rFonts w:ascii="Verdana" w:hAnsi="Verdana" w:cs="Verdana" w:hint="default"/>
      <w:b/>
      <w:bCs/>
      <w:color w:val="8B0000"/>
    </w:rPr>
  </w:style>
  <w:style w:type="character" w:customStyle="1" w:styleId="slgi1">
    <w:name w:val="s_lgi1"/>
    <w:rPr>
      <w:color w:val="006400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Verdan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2</vt:lpstr>
    </vt:vector>
  </TitlesOfParts>
  <Company>Ministerul Finantelor Publice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2</dc:title>
  <dc:creator>MARIA-GEORGIANA STOIAN</dc:creator>
  <cp:lastModifiedBy>Vasilica Imbrisca</cp:lastModifiedBy>
  <cp:revision>3</cp:revision>
  <cp:lastPrinted>2024-10-14T11:55:00Z</cp:lastPrinted>
  <dcterms:created xsi:type="dcterms:W3CDTF">2024-09-26T09:36:00Z</dcterms:created>
  <dcterms:modified xsi:type="dcterms:W3CDTF">2024-10-28T08:35:00Z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  <property fmtid="{D5CDD505-2E9C-101B-9397-08002B2CF9AE}" pid="3" name="ICV">
    <vt:lpwstr>D1B5E72D6F9449FD948E857AD7DBD419</vt:lpwstr>
  </property>
</Properties>
</file>